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2005 5 vom 11. März 2005</w:t>
      </w:r>
    </w:p>
    <w:p>
      <w:r>
        <w:t>GR Gerichte, 2005-03-11, DE</w:t>
      </w:r>
    </w:p>
    <w:p>
      <w:r>
        <w:rPr>
          <w:b/>
        </w:rPr>
        <w:t xml:space="preserve">Quelle: </w:t>
      </w:r>
      <w:r>
        <w:t>https://mcp.opencaselaw.ch/entscheid/gr_gerichte_A 2005 5</w:t>
      </w:r>
    </w:p>
    <w:p>
      <w:r>
        <w:t>FR: GR_GERICHTE A 2005 5 du 11 mars 2005</w:t>
      </w:r>
    </w:p>
    <w:p>
      <w:r>
        <w:t>IT: GR_GERICHTE A 2005 5 del 11 marzo 2005</w:t>
      </w:r>
    </w:p>
    <w:p>
      <w:pPr>
        <w:pStyle w:val="Heading2"/>
      </w:pPr>
      <w:r>
        <w:t>Regeste</w:t>
      </w:r>
    </w:p>
    <w:p>
      <w:r>
        <w:t>Zigarettenkontingent 2004 | Steuern übriges</w:t>
      </w:r>
    </w:p>
    <w:p>
      <w:pPr>
        <w:pStyle w:val="Heading2"/>
      </w:pPr>
      <w:r>
        <w:t>Erwägungen</w:t>
      </w:r>
    </w:p>
    <w:p>
      <w:r>
        <w:rPr>
          <w:b/>
        </w:rPr>
        <w:t>E. 3</w:t>
      </w:r>
    </w:p>
    <w:p>
      <w:r>
        <w:t>a) Die Rekurrentin kritisiert die angefochtene Kontingentszuteilung als willkürlich, da sie sich nicht an die Vorgaben des Verwaltungsgerichtes halte und daher verfassungswidrig sei. Das Verwaltungsgericht hat im Urteil VGU A 02 9 im vorliegend interessierenden Zusammenhang Folgendes ausgeführt:</w:t>
      </w:r>
    </w:p>
    <w:p>
      <w:r>
        <w:t>"Die von der Gemeinde erlassene Ordnung vermag nun diesen Anforderungen nur teilweise zu genügen. Dies zeigt sich allein schon daran, dass vom ganzen Zigarettenkontingent nur ca. zwei Drittel direkt an die Konsumenten verkauft wurden. Mit einem Drittel des Kontingentes, also mit mehr als 13 Mio. Stück Zigaretten fand somit ein schwunghafter Kontingentshandel statt. Dies widerspricht in hohem Masse den soeben umschriebenen Grundsätzen für eine verfassungsgemässe Kontingentsordnung. Die Gemeinde wird daher für die künftigen Verteilungen eine Regelung suchen müssen, welche den erwähnten Grundsätzen gerecht wird und insbesondere den Kontingentshandel auf ein Minimum beschränkt. Obwohl es nicht Sache des Verwaltungsgerichtes ist, eine mögliche Lösung vorzuzeichnen, seien dafür einige Anhaltspunkte angeführt. Dem Grundsatz nach ist es nicht zu beanstanden, dass die Kontingente auf die Detailhändler und die Beherberger verteilt werden. Bei beiden Kategorien von Gewerbetreibenden handelt es sich um Kontingentsberechtigte, die im Prinzip geeignet sind, Rauchwaren an die Konsumenten zu veräussern. So ist es durchaus üblich, in Hotels und Restaurants Zigaretten zum Verkauf anzubieten. Aber auch bei den Detailhandelsgeschäften ist der Verkauf von Rauchwaren nicht auf reine Tabakhändler beschränkt. Vielmehr steht es jedem Händler frei, in seinem Laden Rauchwaren anzubieten. Massgebend ist aber sowohl bei den Detailhändlern als auch bei den Beherbergern, dass sie dieses Geschäft auch tatsächlich betreiben und nicht nur Kontingente erwerben, um sie anschliessend gegen Provision zu verkaufen. In der Regel dürfte es daher nicht gerechtfertigt sein, der Parahotellerie Kontingente abzugeben, da dort wohl nur sehr wenige Rauchwaren direkt an die Verbraucher abgegeben werden. Ausserdem besteht die Gefahr einer allzu grossen Streuung der Kontingente. Vertretbar erscheint es sodann, bei der Kontingentsverteilung die Anzahl der Geschäfte sowie die zur Verfügung stehende Verkaufsfläche mit zu berücksichtigen, sofern und soweit in diesen Räumlichkeiten tatsächlich mit Zigaretten gehandelt wird. Die Gemeinde wird diesen Überlegungen beim Erlass einer neuen Kontingentsordnung Rechnung zu tragen haben. Selbstverständlich ist sodann, dass die Regelung in ihren Grundzügen ins Gesetz und nicht bloss in die Ausführungsbestimmungen aufzunehmen ist. Dazu zählt auch der Rahmen</w:t>
      </w:r>
    </w:p>
    <w:p>
      <w:r>
        <w:t>für die prozentuale Aufteilung der Kontingente zwischen Händlern und Beherbergern. Im Sinne dieser Erwägungen ist der Rekurs gutzuheissen." b) Entgegen der ziemlich pauschalen Kritik der Rekurrentin hat die Gemeinde das Urteil des Verwaltungsgerichtes in durchaus vertretbarer Weise umgesetzt. Vor allem hat die Gemeinde den Kontingentshandel verboten und Zuteilungen nur noch an Händler gemacht, welche vorgängig ein Formular unterschrieben haben und damit bestätigten, die zugeteilte Menge an Zigaretten und Tabakwaren direkt an den Endkonsumenten zu verkaufen, die zugeteilte Menge an Zigaretten in dem Verkaufsgeschäft zu verkaufen, für welches sie bezogen wurden sowie mit der zugeteilten Menge der Zigaretten keinen steuerrelevanten Handel mit andern Händlern, Geschäften, Privatpersonen innerhalb oder ausserhalb der Zollfreizone zu betreiben. Damit ist der Gemeindevorstand der Vorgabe des Verwaltungsgerichtes und des Bundesgerichtes, keinen Kontingentshandel zuzulassen und nur den Zigarettenverkauf an Endkonsumenten zuzulassen, voll und ganz nachgekommen. Sodann wurde der Anteil der Beherbergungsbetriebe von 30% auf 15% reduziert, was ebenfalls im Sinne des verwaltungsgerichtlichen Urteils ist. Die Berücksichtigung der Anzahl Geschäfte und auch der Verkaufsfläche ist vom Verwaltungsgericht nicht ausgeschlossen worden. Dass hier eine gewisse Pauschalierung stattgefunden hat, liegt im Ermessen der Gemeinde. Mit Blick auf die Tatsache, dass der zu wählende Verteilerschlüssel einen rationellen Verkauf der Kontingentszigaretten ermöglichen muss und erfahrungsgemäss die Nachfrage in Geschäften mit einer grösseren Verkaufsfläche höher ist als in solchen mit einer kleinen, erweist sich eine Berücksichtigung des Kriteriums der Verkaufsfläche als sachlich vertretbar. Dem steht auch nicht entgegen, dass der Gemeinderat im Hinblick auf ein neues Tabakgesetz beschlossen hat, die Verkaufsfläche als Zuteilungskriterium ganz abzuschaffen. Diese wohl auch mögliche Lösung lässt jene des Vorstandes nicht als willkürlich erscheinen. Nach dem Gesagten ist nicht ersichtlich, dass mit der angefochtenen Kontingentszuteilung Verfassungsrecht verletzt oder dem Urteil des Verwaltungsgerichtes nicht nachgelebt wurde. Der Rekurs ist deshalb abzuweisen, soweit darauf eingetreten werden kann.</w:t>
      </w:r>
    </w:p>
    <w:p>
      <w:r>
        <w:rPr>
          <w:b/>
        </w:rPr>
        <w:t>E. 4</w:t>
      </w:r>
    </w:p>
    <w:p>
      <w:r>
        <w:t>Bei diesem Ausgang gehen die Verfahrenskosten zulasten der Rekurrentin, welche die anwaltlich vertretene Gemeinde überdies angemessen aussergerichtlich zu entschädigen hat. Demnach erkennt das Gericht: 1. Der Rekurs wird abgewiesen, soweit darauf eingetreten wird. 2. Die Gerichtskosten, bestehend - aus einer Staatsgebühr von Fr. 12'000.-- - und den Kanzleiauslagen von Fr. 153.-- zusammen Fr. 12'153.-- gehen zulasten der … AG und sind innert 30 Tagen seit Zustellung dieses Entscheides an die Finanzverwaltung des Kantons Graubünden, Chur, zu bezahlen. 3. Die … AG entschädigt die Gemeinde … aussergerichtlich mit Fr. 4'000.--.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